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53A225" w14:textId="77777777" w:rsidR="00852461" w:rsidRDefault="00852461" w:rsidP="00852461">
      <w:pPr>
        <w:spacing w:after="200" w:line="276" w:lineRule="auto"/>
        <w:rPr>
          <w:rFonts w:ascii="Arial" w:eastAsia="Times New Roman" w:hAnsi="Arial" w:cs="Arial"/>
          <w:b/>
          <w:bCs/>
          <w:i/>
          <w:color w:val="FF0000"/>
          <w:sz w:val="24"/>
          <w:szCs w:val="24"/>
          <w:lang w:val="en-US" w:bidi="hi-IN"/>
        </w:rPr>
      </w:pPr>
      <w:r w:rsidRPr="00861CD1">
        <w:rPr>
          <w:rFonts w:ascii="Arial" w:eastAsia="Calibri" w:hAnsi="Arial" w:cs="Arial"/>
          <w:b/>
          <w:bCs/>
          <w:color w:val="FF0000"/>
          <w:sz w:val="24"/>
          <w:szCs w:val="24"/>
          <w:lang w:val="en-US"/>
        </w:rPr>
        <w:t xml:space="preserve">6.1.1. </w:t>
      </w:r>
      <w:r w:rsidRPr="00861CD1">
        <w:rPr>
          <w:rFonts w:ascii="Arial" w:eastAsia="Times New Roman" w:hAnsi="Arial" w:cs="Arial"/>
          <w:b/>
          <w:bCs/>
          <w:i/>
          <w:color w:val="FF0000"/>
          <w:sz w:val="24"/>
          <w:szCs w:val="24"/>
          <w:lang w:val="en-US" w:bidi="hi-IN"/>
        </w:rPr>
        <w:t>The institution has a clearly stated vision and mission which are reflected in its academic and administrative governance</w:t>
      </w:r>
    </w:p>
    <w:p w14:paraId="508017B8" w14:textId="77777777" w:rsidR="00852461" w:rsidRPr="00861CD1" w:rsidRDefault="00852461" w:rsidP="00852461">
      <w:pPr>
        <w:spacing w:after="200" w:line="276" w:lineRule="auto"/>
        <w:rPr>
          <w:rFonts w:ascii="Arial" w:eastAsia="Times New Roman" w:hAnsi="Arial" w:cs="Arial"/>
          <w:b/>
          <w:bCs/>
          <w:i/>
          <w:color w:val="FF0000"/>
          <w:sz w:val="24"/>
          <w:szCs w:val="24"/>
          <w:lang w:val="en-US" w:bidi="hi-IN"/>
        </w:rPr>
      </w:pPr>
      <w:r w:rsidRPr="00861CD1">
        <w:rPr>
          <w:rFonts w:ascii="Arial" w:eastAsia="Times New Roman" w:hAnsi="Arial" w:cs="Arial"/>
          <w:b/>
          <w:bCs/>
          <w:i/>
          <w:color w:val="FF0000"/>
          <w:sz w:val="24"/>
          <w:szCs w:val="24"/>
          <w:lang w:val="en-US" w:bidi="hi-IN"/>
        </w:rPr>
        <w:t>Write description in maximum of 500 words</w:t>
      </w:r>
    </w:p>
    <w:p w14:paraId="5D1AC31C" w14:textId="77777777" w:rsidR="00852461" w:rsidRPr="00861CD1" w:rsidRDefault="00852461" w:rsidP="00852461">
      <w:pPr>
        <w:spacing w:after="200" w:line="276" w:lineRule="auto"/>
        <w:rPr>
          <w:rFonts w:ascii="Arial" w:eastAsia="Calibri" w:hAnsi="Arial" w:cs="Arial"/>
          <w:b/>
          <w:bCs/>
          <w:strike/>
          <w:color w:val="FF0000"/>
          <w:sz w:val="24"/>
          <w:szCs w:val="24"/>
          <w:lang w:val="en-US"/>
        </w:rPr>
      </w:pPr>
      <w:r w:rsidRPr="00861CD1">
        <w:rPr>
          <w:rFonts w:ascii="Arial" w:eastAsia="Times New Roman" w:hAnsi="Arial" w:cs="Arial"/>
          <w:b/>
          <w:bCs/>
          <w:i/>
          <w:color w:val="FF0000"/>
          <w:sz w:val="24"/>
          <w:szCs w:val="24"/>
          <w:lang w:val="en-US" w:bidi="hi-IN"/>
        </w:rPr>
        <w:t xml:space="preserve">                                     </w:t>
      </w:r>
    </w:p>
    <w:p w14:paraId="66BBFE22" w14:textId="77777777" w:rsidR="00852461" w:rsidRPr="00861CD1" w:rsidRDefault="00852461" w:rsidP="00852461">
      <w:pPr>
        <w:spacing w:after="120" w:line="312" w:lineRule="auto"/>
        <w:rPr>
          <w:rFonts w:ascii="Arial" w:eastAsia="Calibri" w:hAnsi="Arial" w:cs="Arial"/>
          <w:sz w:val="24"/>
          <w:szCs w:val="24"/>
          <w:lang w:val="en-US"/>
        </w:rPr>
      </w:pPr>
      <w:r w:rsidRPr="00861CD1">
        <w:rPr>
          <w:rFonts w:ascii="Arial" w:eastAsia="Calibri" w:hAnsi="Arial" w:cs="Arial"/>
          <w:sz w:val="24"/>
          <w:szCs w:val="24"/>
          <w:lang w:val="en-US"/>
        </w:rPr>
        <w:t>H</w:t>
      </w:r>
      <w:r>
        <w:rPr>
          <w:rFonts w:ascii="Arial" w:eastAsia="Calibri" w:hAnsi="Arial" w:cs="Arial"/>
          <w:sz w:val="24"/>
          <w:szCs w:val="24"/>
          <w:lang w:val="en-US"/>
        </w:rPr>
        <w:t>BNI</w:t>
      </w:r>
      <w:r w:rsidRPr="00861CD1">
        <w:rPr>
          <w:rFonts w:ascii="Arial" w:eastAsia="Calibri" w:hAnsi="Arial" w:cs="Arial"/>
          <w:sz w:val="24"/>
          <w:szCs w:val="24"/>
          <w:lang w:val="en-US"/>
        </w:rPr>
        <w:t xml:space="preserve"> was established with the mission of contributing to the development of indigenous nuclear technological capability through the pursuit of excellence in academic programs in sciences (including engineering sciences) and mathematics. </w:t>
      </w:r>
    </w:p>
    <w:p w14:paraId="55114CF2" w14:textId="77777777" w:rsidR="00852461" w:rsidRPr="00861CD1" w:rsidRDefault="00852461" w:rsidP="00852461">
      <w:pPr>
        <w:widowControl w:val="0"/>
        <w:autoSpaceDE w:val="0"/>
        <w:autoSpaceDN w:val="0"/>
        <w:adjustRightInd w:val="0"/>
        <w:spacing w:before="5" w:after="120" w:line="312" w:lineRule="auto"/>
        <w:ind w:left="1109" w:right="-45" w:hanging="1109"/>
        <w:rPr>
          <w:rFonts w:ascii="Arial" w:eastAsia="Calibri" w:hAnsi="Arial" w:cs="Arial"/>
          <w:color w:val="000000"/>
          <w:sz w:val="24"/>
          <w:szCs w:val="24"/>
          <w:lang w:val="en-US"/>
        </w:rPr>
      </w:pPr>
      <w:r w:rsidRPr="00861CD1">
        <w:rPr>
          <w:rFonts w:ascii="Arial" w:eastAsia="Calibri" w:hAnsi="Arial" w:cs="Arial"/>
          <w:color w:val="000000"/>
          <w:sz w:val="24"/>
          <w:szCs w:val="24"/>
          <w:lang w:val="en-US"/>
        </w:rPr>
        <w:t>The vision of HBNI is:</w:t>
      </w:r>
    </w:p>
    <w:p w14:paraId="13C1BDA7" w14:textId="77777777" w:rsidR="00852461" w:rsidRPr="00861CD1" w:rsidRDefault="00852461" w:rsidP="00852461">
      <w:pPr>
        <w:widowControl w:val="0"/>
        <w:numPr>
          <w:ilvl w:val="0"/>
          <w:numId w:val="1"/>
        </w:numPr>
        <w:autoSpaceDE w:val="0"/>
        <w:autoSpaceDN w:val="0"/>
        <w:adjustRightInd w:val="0"/>
        <w:spacing w:before="5" w:after="120" w:line="312" w:lineRule="auto"/>
        <w:ind w:left="1111" w:right="-45" w:hanging="400"/>
        <w:rPr>
          <w:rFonts w:ascii="Arial" w:eastAsia="Calibri" w:hAnsi="Arial" w:cs="Arial"/>
          <w:color w:val="000000"/>
          <w:sz w:val="24"/>
          <w:szCs w:val="24"/>
          <w:lang w:val="en-US"/>
        </w:rPr>
      </w:pPr>
      <w:r w:rsidRPr="00861CD1">
        <w:rPr>
          <w:rFonts w:ascii="Arial" w:eastAsia="Calibri" w:hAnsi="Arial" w:cs="Arial"/>
          <w:color w:val="000000"/>
          <w:sz w:val="24"/>
          <w:szCs w:val="24"/>
          <w:lang w:val="en-US"/>
        </w:rPr>
        <w:t xml:space="preserve">To provide an academic framework for integrating basic research with technology development. </w:t>
      </w:r>
    </w:p>
    <w:p w14:paraId="0A956C10" w14:textId="77777777" w:rsidR="00852461" w:rsidRPr="00861CD1" w:rsidRDefault="00852461" w:rsidP="00852461">
      <w:pPr>
        <w:widowControl w:val="0"/>
        <w:numPr>
          <w:ilvl w:val="0"/>
          <w:numId w:val="2"/>
        </w:numPr>
        <w:autoSpaceDE w:val="0"/>
        <w:autoSpaceDN w:val="0"/>
        <w:adjustRightInd w:val="0"/>
        <w:spacing w:after="120" w:line="312" w:lineRule="auto"/>
        <w:ind w:left="1111" w:right="-30" w:hanging="400"/>
        <w:rPr>
          <w:rFonts w:ascii="Arial" w:eastAsia="Calibri" w:hAnsi="Arial" w:cs="Arial"/>
          <w:color w:val="000000"/>
          <w:sz w:val="24"/>
          <w:szCs w:val="24"/>
          <w:lang w:val="en-US"/>
        </w:rPr>
      </w:pPr>
      <w:r w:rsidRPr="00861CD1">
        <w:rPr>
          <w:rFonts w:ascii="Arial" w:eastAsia="Calibri" w:hAnsi="Arial" w:cs="Arial"/>
          <w:color w:val="000000"/>
          <w:sz w:val="24"/>
          <w:szCs w:val="24"/>
          <w:lang w:val="en-US"/>
        </w:rPr>
        <w:t xml:space="preserve">To encourage inter-disciplinary research. </w:t>
      </w:r>
    </w:p>
    <w:p w14:paraId="215F64BA" w14:textId="77777777" w:rsidR="00852461" w:rsidRPr="00861CD1" w:rsidRDefault="00852461" w:rsidP="00852461">
      <w:pPr>
        <w:widowControl w:val="0"/>
        <w:numPr>
          <w:ilvl w:val="0"/>
          <w:numId w:val="3"/>
        </w:numPr>
        <w:autoSpaceDE w:val="0"/>
        <w:autoSpaceDN w:val="0"/>
        <w:adjustRightInd w:val="0"/>
        <w:spacing w:before="5" w:after="120" w:line="312" w:lineRule="auto"/>
        <w:ind w:left="1111" w:right="521" w:hanging="400"/>
        <w:jc w:val="both"/>
        <w:rPr>
          <w:rFonts w:ascii="Arial" w:eastAsia="Calibri" w:hAnsi="Arial" w:cs="Arial"/>
          <w:color w:val="000000"/>
          <w:sz w:val="24"/>
          <w:szCs w:val="24"/>
          <w:lang w:val="en-US"/>
        </w:rPr>
      </w:pPr>
      <w:r w:rsidRPr="00861CD1">
        <w:rPr>
          <w:rFonts w:ascii="Arial" w:eastAsia="Calibri" w:hAnsi="Arial" w:cs="Arial"/>
          <w:color w:val="000000"/>
          <w:sz w:val="24"/>
          <w:szCs w:val="24"/>
          <w:lang w:val="en-US"/>
        </w:rPr>
        <w:t>To nurture an environment for attracting high quality manpower in the sciences including engineering sciences to take up a</w:t>
      </w:r>
      <w:r w:rsidRPr="008F3D07">
        <w:rPr>
          <w:rFonts w:ascii="Arial" w:eastAsia="Calibri" w:hAnsi="Arial" w:cs="Arial"/>
          <w:color w:val="000000"/>
          <w:sz w:val="24"/>
          <w:szCs w:val="24"/>
          <w:lang w:val="en-US"/>
        </w:rPr>
        <w:t xml:space="preserve"> </w:t>
      </w:r>
      <w:r w:rsidRPr="00861CD1">
        <w:rPr>
          <w:rFonts w:ascii="Arial" w:eastAsia="Calibri" w:hAnsi="Arial" w:cs="Arial"/>
          <w:color w:val="000000"/>
          <w:sz w:val="24"/>
          <w:szCs w:val="24"/>
          <w:lang w:val="en-US"/>
        </w:rPr>
        <w:t xml:space="preserve">career in nuclear science and technology and related areas.   </w:t>
      </w:r>
    </w:p>
    <w:p w14:paraId="63A7EEE9" w14:textId="77777777" w:rsidR="00852461" w:rsidRPr="00861CD1" w:rsidRDefault="00852461" w:rsidP="00852461">
      <w:pPr>
        <w:spacing w:after="120" w:line="312" w:lineRule="auto"/>
        <w:rPr>
          <w:rFonts w:ascii="Arial" w:eastAsia="Calibri" w:hAnsi="Arial" w:cs="Arial"/>
          <w:sz w:val="24"/>
          <w:szCs w:val="24"/>
          <w:lang w:val="en-US"/>
        </w:rPr>
      </w:pPr>
      <w:r w:rsidRPr="00861CD1">
        <w:rPr>
          <w:rFonts w:ascii="Arial" w:eastAsia="Calibri" w:hAnsi="Arial" w:cs="Arial"/>
          <w:sz w:val="24"/>
          <w:szCs w:val="24"/>
          <w:lang w:val="en-US"/>
        </w:rPr>
        <w:t>In line with the mission and vision, HBNI has pursued a path of excellence that has provided very valuable, large body of research work, and created human resources of high caliber, that have greatly aided in the development of nuclear science and technology in the country. This has been made possible by the unique Governance structure of HBNI.</w:t>
      </w:r>
    </w:p>
    <w:p w14:paraId="3C855B74" w14:textId="77777777" w:rsidR="00852461" w:rsidRPr="00861CD1" w:rsidRDefault="00852461" w:rsidP="00852461">
      <w:pPr>
        <w:spacing w:after="120" w:line="312" w:lineRule="auto"/>
        <w:rPr>
          <w:rFonts w:ascii="Arial" w:eastAsia="Calibri" w:hAnsi="Arial" w:cs="Arial"/>
          <w:color w:val="000000"/>
          <w:sz w:val="24"/>
          <w:szCs w:val="24"/>
          <w:lang w:val="en-US"/>
        </w:rPr>
      </w:pPr>
      <w:r w:rsidRPr="00861CD1">
        <w:rPr>
          <w:rFonts w:ascii="Arial" w:eastAsia="Calibri" w:hAnsi="Arial" w:cs="Arial"/>
          <w:sz w:val="24"/>
          <w:szCs w:val="24"/>
          <w:lang w:val="en-US"/>
        </w:rPr>
        <w:t xml:space="preserve">To deal with the diversity of academic programs and R&amp;D goals of the CIs and OCC, HBNI has set up a unique distributed academic governance mechanism, that has ensured that the institutions are able to meet their individual objectives and at the same time, adhere to a common set of academic standards and processes.  The Academic Council of HBNI has as its members the Directors of all the </w:t>
      </w:r>
      <w:r w:rsidRPr="00861CD1">
        <w:rPr>
          <w:rFonts w:ascii="Arial" w:eastAsia="Calibri" w:hAnsi="Arial" w:cs="Arial"/>
          <w:color w:val="000000"/>
          <w:sz w:val="24"/>
          <w:szCs w:val="24"/>
          <w:lang w:val="en-US"/>
        </w:rPr>
        <w:t>CIs</w:t>
      </w:r>
      <w:r w:rsidRPr="00861CD1">
        <w:rPr>
          <w:rFonts w:ascii="Arial" w:eastAsia="Calibri" w:hAnsi="Arial" w:cs="Arial"/>
          <w:sz w:val="24"/>
          <w:szCs w:val="24"/>
          <w:lang w:val="en-US"/>
        </w:rPr>
        <w:t xml:space="preserve">/OCC, as well as Conveners of the Boards of Studies. Every institute under HBNI has Deans to deal with the academic aspects of their programs. </w:t>
      </w:r>
      <w:r w:rsidRPr="00861CD1">
        <w:rPr>
          <w:rFonts w:ascii="Arial" w:eastAsia="Calibri" w:hAnsi="Arial" w:cs="Arial"/>
          <w:color w:val="000000"/>
          <w:sz w:val="24"/>
          <w:szCs w:val="24"/>
          <w:lang w:val="en-US"/>
        </w:rPr>
        <w:t>In addition, a Standing Committee of Deans, comprising of Deans (Academic) from all the institutions, ensured harmony in the processes. The Boards of Studies also have representatives from every CI and OCC</w:t>
      </w:r>
      <w:r>
        <w:rPr>
          <w:rFonts w:ascii="Arial" w:eastAsia="Calibri" w:hAnsi="Arial" w:cs="Arial"/>
          <w:color w:val="000000"/>
          <w:sz w:val="24"/>
          <w:szCs w:val="24"/>
          <w:lang w:val="en-US"/>
        </w:rPr>
        <w:t xml:space="preserve">, besides experts from other reputed </w:t>
      </w:r>
      <w:proofErr w:type="gramStart"/>
      <w:r>
        <w:rPr>
          <w:rFonts w:ascii="Arial" w:eastAsia="Calibri" w:hAnsi="Arial" w:cs="Arial"/>
          <w:color w:val="000000"/>
          <w:sz w:val="24"/>
          <w:szCs w:val="24"/>
          <w:lang w:val="en-US"/>
        </w:rPr>
        <w:t xml:space="preserve">institutes </w:t>
      </w:r>
      <w:r w:rsidRPr="00861CD1">
        <w:rPr>
          <w:rFonts w:ascii="Arial" w:eastAsia="Calibri" w:hAnsi="Arial" w:cs="Arial"/>
          <w:color w:val="000000"/>
          <w:sz w:val="24"/>
          <w:szCs w:val="24"/>
          <w:lang w:val="en-US"/>
        </w:rPr>
        <w:t>.</w:t>
      </w:r>
      <w:proofErr w:type="gramEnd"/>
      <w:r w:rsidRPr="00861CD1">
        <w:rPr>
          <w:rFonts w:ascii="Arial" w:eastAsia="Calibri" w:hAnsi="Arial" w:cs="Arial"/>
          <w:color w:val="000000"/>
          <w:sz w:val="24"/>
          <w:szCs w:val="24"/>
          <w:lang w:val="en-US"/>
        </w:rPr>
        <w:t xml:space="preserve"> The Doctoral Committee for every student has preferably, a member from another CI. These features have helped in integrating the basic research focus in the grant-in-aid institutions with the mission-oriented approach in the R &amp; D units. </w:t>
      </w:r>
    </w:p>
    <w:p w14:paraId="63123FD0" w14:textId="6CE3EBA0" w:rsidR="00852461" w:rsidRPr="00861CD1" w:rsidRDefault="00852461" w:rsidP="00852461">
      <w:pPr>
        <w:spacing w:after="120" w:line="312" w:lineRule="auto"/>
        <w:rPr>
          <w:rFonts w:ascii="Arial" w:eastAsia="Calibri" w:hAnsi="Arial" w:cs="Arial"/>
          <w:sz w:val="24"/>
          <w:szCs w:val="24"/>
          <w:lang w:val="en-US"/>
        </w:rPr>
      </w:pPr>
      <w:r w:rsidRPr="00861CD1">
        <w:rPr>
          <w:rFonts w:ascii="Arial" w:eastAsia="Calibri" w:hAnsi="Arial" w:cs="Arial"/>
          <w:sz w:val="24"/>
          <w:szCs w:val="24"/>
          <w:lang w:val="en-US"/>
        </w:rPr>
        <w:t xml:space="preserve">The administrative structure of HBNI is also unique. The CIs/OCC have their own </w:t>
      </w:r>
      <w:r w:rsidR="00363922">
        <w:rPr>
          <w:rFonts w:ascii="Arial" w:eastAsia="Calibri" w:hAnsi="Arial" w:cs="Arial"/>
          <w:sz w:val="24"/>
          <w:szCs w:val="24"/>
          <w:lang w:val="en-US"/>
        </w:rPr>
        <w:t xml:space="preserve">administrative </w:t>
      </w:r>
      <w:r w:rsidRPr="00861CD1">
        <w:rPr>
          <w:rFonts w:ascii="Arial" w:eastAsia="Calibri" w:hAnsi="Arial" w:cs="Arial"/>
          <w:sz w:val="24"/>
          <w:szCs w:val="24"/>
          <w:lang w:val="en-US"/>
        </w:rPr>
        <w:t xml:space="preserve">structure, and </w:t>
      </w:r>
      <w:r w:rsidR="00363922">
        <w:rPr>
          <w:rFonts w:ascii="Arial" w:eastAsia="Calibri" w:hAnsi="Arial" w:cs="Arial"/>
          <w:sz w:val="24"/>
          <w:szCs w:val="24"/>
          <w:lang w:val="en-US"/>
        </w:rPr>
        <w:t xml:space="preserve">take care of matters relating to </w:t>
      </w:r>
      <w:r w:rsidRPr="00861CD1">
        <w:rPr>
          <w:rFonts w:ascii="Arial" w:eastAsia="Calibri" w:hAnsi="Arial" w:cs="Arial"/>
          <w:sz w:val="24"/>
          <w:szCs w:val="24"/>
          <w:lang w:val="en-US"/>
        </w:rPr>
        <w:t>admission of students</w:t>
      </w:r>
      <w:r w:rsidR="00363922">
        <w:rPr>
          <w:rFonts w:ascii="Arial" w:eastAsia="Calibri" w:hAnsi="Arial" w:cs="Arial"/>
          <w:sz w:val="24"/>
          <w:szCs w:val="24"/>
          <w:lang w:val="en-US"/>
        </w:rPr>
        <w:t xml:space="preserve">, </w:t>
      </w:r>
      <w:bookmarkStart w:id="0" w:name="_GoBack"/>
      <w:bookmarkEnd w:id="0"/>
      <w:r w:rsidRPr="00861CD1">
        <w:rPr>
          <w:rFonts w:ascii="Arial" w:eastAsia="Calibri" w:hAnsi="Arial" w:cs="Arial"/>
          <w:sz w:val="24"/>
          <w:szCs w:val="24"/>
          <w:lang w:val="en-US"/>
        </w:rPr>
        <w:t xml:space="preserve">organizing examination, infrastructure for students and financial support for the </w:t>
      </w:r>
      <w:r w:rsidRPr="00861CD1">
        <w:rPr>
          <w:rFonts w:ascii="Arial" w:eastAsia="Calibri" w:hAnsi="Arial" w:cs="Arial"/>
          <w:sz w:val="24"/>
          <w:szCs w:val="24"/>
          <w:lang w:val="en-US"/>
        </w:rPr>
        <w:lastRenderedPageBreak/>
        <w:t xml:space="preserve">academic programs. These have reduced the administrative requirement at the Central office, which focuses more on continuous improvement in academic programs, schemes for student mobility across CIs and maintenance of uniformly high academic standards. The </w:t>
      </w:r>
      <w:r w:rsidRPr="00861CD1">
        <w:rPr>
          <w:rFonts w:ascii="Arial" w:eastAsia="Calibri" w:hAnsi="Arial" w:cs="Arial"/>
          <w:color w:val="000000"/>
          <w:sz w:val="24"/>
          <w:szCs w:val="24"/>
          <w:lang w:val="en-US"/>
        </w:rPr>
        <w:t xml:space="preserve">present </w:t>
      </w:r>
      <w:r w:rsidRPr="00861CD1">
        <w:rPr>
          <w:rFonts w:ascii="Arial" w:eastAsia="Calibri" w:hAnsi="Arial" w:cs="Arial"/>
          <w:sz w:val="24"/>
          <w:szCs w:val="24"/>
          <w:lang w:val="en-US"/>
        </w:rPr>
        <w:t xml:space="preserve">Chancellor of </w:t>
      </w:r>
      <w:r>
        <w:rPr>
          <w:rFonts w:ascii="Arial" w:eastAsia="Calibri" w:hAnsi="Arial" w:cs="Arial"/>
          <w:sz w:val="24"/>
          <w:szCs w:val="24"/>
          <w:lang w:val="en-US"/>
        </w:rPr>
        <w:t>HBNI</w:t>
      </w:r>
      <w:r w:rsidRPr="00861CD1">
        <w:rPr>
          <w:rFonts w:ascii="Arial" w:eastAsia="Calibri" w:hAnsi="Arial" w:cs="Arial"/>
          <w:sz w:val="24"/>
          <w:szCs w:val="24"/>
          <w:lang w:val="en-US"/>
        </w:rPr>
        <w:t xml:space="preserve"> is former Secretary of the D</w:t>
      </w:r>
      <w:r>
        <w:rPr>
          <w:rFonts w:ascii="Arial" w:eastAsia="Calibri" w:hAnsi="Arial" w:cs="Arial"/>
          <w:sz w:val="24"/>
          <w:szCs w:val="24"/>
          <w:lang w:val="en-US"/>
        </w:rPr>
        <w:t>AE</w:t>
      </w:r>
      <w:r w:rsidRPr="00861CD1">
        <w:rPr>
          <w:rFonts w:ascii="Arial" w:eastAsia="Calibri" w:hAnsi="Arial" w:cs="Arial"/>
          <w:sz w:val="24"/>
          <w:szCs w:val="24"/>
          <w:lang w:val="en-US"/>
        </w:rPr>
        <w:t xml:space="preserve">. The Chairman of the Council of Management is the </w:t>
      </w:r>
      <w:r>
        <w:rPr>
          <w:rFonts w:ascii="Arial" w:eastAsia="Calibri" w:hAnsi="Arial" w:cs="Arial"/>
          <w:sz w:val="24"/>
          <w:szCs w:val="24"/>
          <w:lang w:val="en-US"/>
        </w:rPr>
        <w:t xml:space="preserve">current </w:t>
      </w:r>
      <w:r w:rsidRPr="00861CD1">
        <w:rPr>
          <w:rFonts w:ascii="Arial" w:eastAsia="Calibri" w:hAnsi="Arial" w:cs="Arial"/>
          <w:sz w:val="24"/>
          <w:szCs w:val="24"/>
          <w:lang w:val="en-US"/>
        </w:rPr>
        <w:t>Secretary of D</w:t>
      </w:r>
      <w:r>
        <w:rPr>
          <w:rFonts w:ascii="Arial" w:eastAsia="Calibri" w:hAnsi="Arial" w:cs="Arial"/>
          <w:sz w:val="24"/>
          <w:szCs w:val="24"/>
          <w:lang w:val="en-US"/>
        </w:rPr>
        <w:t>AE</w:t>
      </w:r>
      <w:r w:rsidRPr="00861CD1">
        <w:rPr>
          <w:rFonts w:ascii="Arial" w:eastAsia="Calibri" w:hAnsi="Arial" w:cs="Arial"/>
          <w:sz w:val="24"/>
          <w:szCs w:val="24"/>
          <w:lang w:val="en-US"/>
        </w:rPr>
        <w:t xml:space="preserve">. The leadership of the University by the highest authority in the Department has provided the necessary thrust to the University to introduce courses that would be of value to the mission programs of the Department, and create an impact on the society, which are two important objectives of the University. </w:t>
      </w:r>
    </w:p>
    <w:p w14:paraId="4E270420" w14:textId="77777777" w:rsidR="00852461" w:rsidRPr="00861CD1" w:rsidRDefault="00852461" w:rsidP="00852461">
      <w:pPr>
        <w:spacing w:after="120" w:line="312" w:lineRule="auto"/>
        <w:rPr>
          <w:rFonts w:ascii="Arial" w:eastAsia="Calibri" w:hAnsi="Arial" w:cs="Arial"/>
          <w:sz w:val="24"/>
          <w:szCs w:val="24"/>
          <w:lang w:val="en-US"/>
        </w:rPr>
      </w:pPr>
      <w:r w:rsidRPr="00861CD1">
        <w:rPr>
          <w:rFonts w:ascii="Arial" w:eastAsia="Calibri" w:hAnsi="Arial" w:cs="Arial"/>
          <w:sz w:val="24"/>
          <w:szCs w:val="24"/>
          <w:lang w:val="en-US"/>
        </w:rPr>
        <w:t>Such structure has led to the success of HBNI in terms of high value contributions to the Department and to the Society at large, the twin objectives with which it was set up.</w:t>
      </w:r>
    </w:p>
    <w:p w14:paraId="593BFAF2" w14:textId="77777777" w:rsidR="00C16DE1" w:rsidRDefault="00C16DE1"/>
    <w:sectPr w:rsidR="00C16D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13876"/>
    <w:multiLevelType w:val="hybridMultilevel"/>
    <w:tmpl w:val="86CE34D2"/>
    <w:lvl w:ilvl="0" w:tplc="04090001">
      <w:start w:val="1"/>
      <w:numFmt w:val="bullet"/>
      <w:lvlText w:val=""/>
      <w:lvlJc w:val="left"/>
      <w:pPr>
        <w:ind w:left="1440" w:hanging="360"/>
      </w:pPr>
      <w:rPr>
        <w:rFonts w:ascii="Symbol" w:hAnsi="Symbol" w:hint="default"/>
      </w:rPr>
    </w:lvl>
    <w:lvl w:ilvl="1" w:tplc="00000364">
      <w:numFmt w:val="bullet"/>
      <w:suff w:val="space"/>
      <w:lvlText w:val="•"/>
      <w:lvlJc w:val="left"/>
      <w:pPr>
        <w:ind w:left="1440" w:hanging="360"/>
      </w:pPr>
      <w:rPr>
        <w:rFonts w:ascii="Symbol" w:hAnsi="Symbol" w:hint="default"/>
      </w:rPr>
    </w:lvl>
    <w:lvl w:ilvl="2" w:tplc="00000C27">
      <w:numFmt w:val="bullet"/>
      <w:suff w:val="space"/>
      <w:lvlText w:val="•"/>
      <w:lvlJc w:val="left"/>
      <w:pPr>
        <w:ind w:left="1440" w:hanging="360"/>
      </w:pPr>
      <w:rPr>
        <w:rFonts w:ascii="Symbol" w:hAnsi="Symbol" w:hint="default"/>
      </w:rPr>
    </w:lvl>
    <w:lvl w:ilvl="3" w:tplc="000018C3">
      <w:numFmt w:val="bullet"/>
      <w:suff w:val="space"/>
      <w:lvlText w:val="•"/>
      <w:lvlJc w:val="left"/>
      <w:pPr>
        <w:ind w:left="1440" w:hanging="360"/>
      </w:pPr>
      <w:rPr>
        <w:rFonts w:ascii="Symbol" w:hAnsi="Symbol" w:hint="default"/>
      </w:rPr>
    </w:lvl>
    <w:lvl w:ilvl="4" w:tplc="000019F5">
      <w:numFmt w:val="bullet"/>
      <w:suff w:val="space"/>
      <w:lvlText w:val="•"/>
      <w:lvlJc w:val="left"/>
      <w:pPr>
        <w:ind w:left="1440" w:hanging="360"/>
      </w:pPr>
      <w:rPr>
        <w:rFonts w:ascii="Symbol" w:hAnsi="Symbol" w:hint="default"/>
      </w:rPr>
    </w:lvl>
    <w:lvl w:ilvl="5" w:tplc="0000081B">
      <w:numFmt w:val="bullet"/>
      <w:suff w:val="space"/>
      <w:lvlText w:val="•"/>
      <w:lvlJc w:val="left"/>
      <w:pPr>
        <w:ind w:left="1440" w:hanging="360"/>
      </w:pPr>
      <w:rPr>
        <w:rFonts w:ascii="Symbol" w:hAnsi="Symbol" w:hint="default"/>
      </w:rPr>
    </w:lvl>
    <w:lvl w:ilvl="6" w:tplc="000019A8">
      <w:numFmt w:val="bullet"/>
      <w:suff w:val="space"/>
      <w:lvlText w:val="•"/>
      <w:lvlJc w:val="left"/>
      <w:pPr>
        <w:ind w:left="1440" w:hanging="360"/>
      </w:pPr>
      <w:rPr>
        <w:rFonts w:ascii="Symbol" w:hAnsi="Symbol" w:hint="default"/>
      </w:rPr>
    </w:lvl>
    <w:lvl w:ilvl="7" w:tplc="00001D22">
      <w:numFmt w:val="bullet"/>
      <w:suff w:val="space"/>
      <w:lvlText w:val="•"/>
      <w:lvlJc w:val="left"/>
      <w:pPr>
        <w:ind w:left="1440" w:hanging="360"/>
      </w:pPr>
      <w:rPr>
        <w:rFonts w:ascii="Symbol" w:hAnsi="Symbol" w:hint="default"/>
      </w:rPr>
    </w:lvl>
    <w:lvl w:ilvl="8" w:tplc="0000142D">
      <w:numFmt w:val="bullet"/>
      <w:suff w:val="space"/>
      <w:lvlText w:val="•"/>
      <w:lvlJc w:val="left"/>
      <w:pPr>
        <w:ind w:left="1440" w:hanging="360"/>
      </w:pPr>
      <w:rPr>
        <w:rFonts w:ascii="Symbol" w:hAnsi="Symbol" w:hint="default"/>
      </w:rPr>
    </w:lvl>
  </w:abstractNum>
  <w:abstractNum w:abstractNumId="1" w15:restartNumberingAfterBreak="0">
    <w:nsid w:val="0001452C"/>
    <w:multiLevelType w:val="hybridMultilevel"/>
    <w:tmpl w:val="8B548E22"/>
    <w:lvl w:ilvl="0" w:tplc="04090001">
      <w:start w:val="1"/>
      <w:numFmt w:val="bullet"/>
      <w:lvlText w:val=""/>
      <w:lvlJc w:val="left"/>
      <w:pPr>
        <w:ind w:left="720" w:hanging="360"/>
      </w:pPr>
      <w:rPr>
        <w:rFonts w:ascii="Symbol" w:hAnsi="Symbol" w:hint="default"/>
      </w:rPr>
    </w:lvl>
    <w:lvl w:ilvl="1" w:tplc="00001ACB">
      <w:numFmt w:val="bullet"/>
      <w:suff w:val="space"/>
      <w:lvlText w:val="•"/>
      <w:lvlJc w:val="left"/>
      <w:pPr>
        <w:ind w:left="720" w:hanging="360"/>
      </w:pPr>
      <w:rPr>
        <w:rFonts w:ascii="Symbol" w:hAnsi="Symbol" w:hint="default"/>
      </w:rPr>
    </w:lvl>
    <w:lvl w:ilvl="2" w:tplc="000006AC">
      <w:numFmt w:val="bullet"/>
      <w:suff w:val="space"/>
      <w:lvlText w:val="•"/>
      <w:lvlJc w:val="left"/>
      <w:pPr>
        <w:ind w:left="720" w:hanging="360"/>
      </w:pPr>
      <w:rPr>
        <w:rFonts w:ascii="Symbol" w:hAnsi="Symbol" w:hint="default"/>
      </w:rPr>
    </w:lvl>
    <w:lvl w:ilvl="3" w:tplc="00000686">
      <w:numFmt w:val="bullet"/>
      <w:suff w:val="space"/>
      <w:lvlText w:val="•"/>
      <w:lvlJc w:val="left"/>
      <w:pPr>
        <w:ind w:left="720" w:hanging="360"/>
      </w:pPr>
      <w:rPr>
        <w:rFonts w:ascii="Symbol" w:hAnsi="Symbol" w:hint="default"/>
      </w:rPr>
    </w:lvl>
    <w:lvl w:ilvl="4" w:tplc="00000CA8">
      <w:numFmt w:val="bullet"/>
      <w:suff w:val="space"/>
      <w:lvlText w:val="•"/>
      <w:lvlJc w:val="left"/>
      <w:pPr>
        <w:ind w:left="720" w:hanging="360"/>
      </w:pPr>
      <w:rPr>
        <w:rFonts w:ascii="Symbol" w:hAnsi="Symbol" w:hint="default"/>
      </w:rPr>
    </w:lvl>
    <w:lvl w:ilvl="5" w:tplc="0000208F">
      <w:numFmt w:val="bullet"/>
      <w:suff w:val="space"/>
      <w:lvlText w:val="•"/>
      <w:lvlJc w:val="left"/>
      <w:pPr>
        <w:ind w:left="720" w:hanging="360"/>
      </w:pPr>
      <w:rPr>
        <w:rFonts w:ascii="Symbol" w:hAnsi="Symbol" w:hint="default"/>
      </w:rPr>
    </w:lvl>
    <w:lvl w:ilvl="6" w:tplc="00001246">
      <w:numFmt w:val="bullet"/>
      <w:suff w:val="space"/>
      <w:lvlText w:val="•"/>
      <w:lvlJc w:val="left"/>
      <w:pPr>
        <w:ind w:left="720" w:hanging="360"/>
      </w:pPr>
      <w:rPr>
        <w:rFonts w:ascii="Symbol" w:hAnsi="Symbol" w:hint="default"/>
      </w:rPr>
    </w:lvl>
    <w:lvl w:ilvl="7" w:tplc="00001950">
      <w:numFmt w:val="bullet"/>
      <w:suff w:val="space"/>
      <w:lvlText w:val="•"/>
      <w:lvlJc w:val="left"/>
      <w:pPr>
        <w:ind w:left="720" w:hanging="360"/>
      </w:pPr>
      <w:rPr>
        <w:rFonts w:ascii="Symbol" w:hAnsi="Symbol" w:hint="default"/>
      </w:rPr>
    </w:lvl>
    <w:lvl w:ilvl="8" w:tplc="00001C2A">
      <w:numFmt w:val="bullet"/>
      <w:suff w:val="space"/>
      <w:lvlText w:val="•"/>
      <w:lvlJc w:val="left"/>
      <w:pPr>
        <w:ind w:left="720" w:hanging="360"/>
      </w:pPr>
      <w:rPr>
        <w:rFonts w:ascii="Symbol" w:hAnsi="Symbol" w:hint="default"/>
      </w:rPr>
    </w:lvl>
  </w:abstractNum>
  <w:abstractNum w:abstractNumId="2" w15:restartNumberingAfterBreak="0">
    <w:nsid w:val="00014719"/>
    <w:multiLevelType w:val="hybridMultilevel"/>
    <w:tmpl w:val="B4AEFFB0"/>
    <w:lvl w:ilvl="0" w:tplc="04090001">
      <w:start w:val="1"/>
      <w:numFmt w:val="bullet"/>
      <w:lvlText w:val=""/>
      <w:lvlJc w:val="left"/>
      <w:pPr>
        <w:ind w:left="720" w:hanging="360"/>
      </w:pPr>
      <w:rPr>
        <w:rFonts w:ascii="Symbol" w:hAnsi="Symbol" w:hint="default"/>
      </w:rPr>
    </w:lvl>
    <w:lvl w:ilvl="1" w:tplc="00001AE1">
      <w:numFmt w:val="bullet"/>
      <w:suff w:val="space"/>
      <w:lvlText w:val="•"/>
      <w:lvlJc w:val="left"/>
      <w:pPr>
        <w:ind w:left="720" w:hanging="360"/>
      </w:pPr>
      <w:rPr>
        <w:rFonts w:ascii="Symbol" w:hAnsi="Symbol" w:hint="default"/>
      </w:rPr>
    </w:lvl>
    <w:lvl w:ilvl="2" w:tplc="000017DC">
      <w:numFmt w:val="bullet"/>
      <w:suff w:val="space"/>
      <w:lvlText w:val="•"/>
      <w:lvlJc w:val="left"/>
      <w:pPr>
        <w:ind w:left="720" w:hanging="360"/>
      </w:pPr>
      <w:rPr>
        <w:rFonts w:ascii="Symbol" w:hAnsi="Symbol" w:hint="default"/>
      </w:rPr>
    </w:lvl>
    <w:lvl w:ilvl="3" w:tplc="000019A8">
      <w:numFmt w:val="bullet"/>
      <w:suff w:val="space"/>
      <w:lvlText w:val="•"/>
      <w:lvlJc w:val="left"/>
      <w:pPr>
        <w:ind w:left="720" w:hanging="360"/>
      </w:pPr>
      <w:rPr>
        <w:rFonts w:ascii="Symbol" w:hAnsi="Symbol" w:hint="default"/>
      </w:rPr>
    </w:lvl>
    <w:lvl w:ilvl="4" w:tplc="000007DB">
      <w:numFmt w:val="bullet"/>
      <w:suff w:val="space"/>
      <w:lvlText w:val="•"/>
      <w:lvlJc w:val="left"/>
      <w:pPr>
        <w:ind w:left="720" w:hanging="360"/>
      </w:pPr>
      <w:rPr>
        <w:rFonts w:ascii="Symbol" w:hAnsi="Symbol" w:hint="default"/>
      </w:rPr>
    </w:lvl>
    <w:lvl w:ilvl="5" w:tplc="000013A0">
      <w:numFmt w:val="bullet"/>
      <w:suff w:val="space"/>
      <w:lvlText w:val="•"/>
      <w:lvlJc w:val="left"/>
      <w:pPr>
        <w:ind w:left="720" w:hanging="360"/>
      </w:pPr>
      <w:rPr>
        <w:rFonts w:ascii="Symbol" w:hAnsi="Symbol" w:hint="default"/>
      </w:rPr>
    </w:lvl>
    <w:lvl w:ilvl="6" w:tplc="000007B8">
      <w:numFmt w:val="bullet"/>
      <w:suff w:val="space"/>
      <w:lvlText w:val="•"/>
      <w:lvlJc w:val="left"/>
      <w:pPr>
        <w:ind w:left="720" w:hanging="360"/>
      </w:pPr>
      <w:rPr>
        <w:rFonts w:ascii="Symbol" w:hAnsi="Symbol" w:hint="default"/>
      </w:rPr>
    </w:lvl>
    <w:lvl w:ilvl="7" w:tplc="00000C76">
      <w:numFmt w:val="bullet"/>
      <w:suff w:val="space"/>
      <w:lvlText w:val="•"/>
      <w:lvlJc w:val="left"/>
      <w:pPr>
        <w:ind w:left="720" w:hanging="360"/>
      </w:pPr>
      <w:rPr>
        <w:rFonts w:ascii="Symbol" w:hAnsi="Symbol" w:hint="default"/>
      </w:rPr>
    </w:lvl>
    <w:lvl w:ilvl="8" w:tplc="0000239D">
      <w:numFmt w:val="bullet"/>
      <w:suff w:val="space"/>
      <w:lvlText w:val="•"/>
      <w:lvlJc w:val="left"/>
      <w:pPr>
        <w:ind w:left="720" w:hanging="360"/>
      </w:pPr>
      <w:rPr>
        <w:rFonts w:ascii="Symbol" w:hAnsi="Symbol"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461"/>
    <w:rsid w:val="00363922"/>
    <w:rsid w:val="00852461"/>
    <w:rsid w:val="00C16DE1"/>
  </w:rsids>
  <m:mathPr>
    <m:mathFont m:val="Cambria Math"/>
    <m:brkBin m:val="before"/>
    <m:brkBinSub m:val="--"/>
    <m:smallFrac m:val="0"/>
    <m:dispDef/>
    <m:lMargin m:val="0"/>
    <m:rMargin m:val="0"/>
    <m:defJc m:val="centerGroup"/>
    <m:wrapIndent m:val="1440"/>
    <m:intLim m:val="subSup"/>
    <m:naryLim m:val="undOvr"/>
  </m:mathPr>
  <w:themeFontLang w:val="en-IN"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DB30B"/>
  <w15:chartTrackingRefBased/>
  <w15:docId w15:val="{832C1C2B-BA95-4966-99F3-7332E012D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24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491</Words>
  <Characters>2802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P.R.Vasudeva Rao</dc:creator>
  <cp:keywords/>
  <dc:description/>
  <cp:lastModifiedBy>vasudevarao</cp:lastModifiedBy>
  <cp:revision>2</cp:revision>
  <dcterms:created xsi:type="dcterms:W3CDTF">2020-06-04T15:29:00Z</dcterms:created>
  <dcterms:modified xsi:type="dcterms:W3CDTF">2020-07-26T14:57:00Z</dcterms:modified>
</cp:coreProperties>
</file>